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财务管理</w:t>
      </w:r>
      <w:r>
        <w:rPr>
          <w:rFonts w:hint="eastAsia" w:ascii="宋体" w:hAnsi="宋体"/>
          <w:b/>
          <w:sz w:val="28"/>
          <w:szCs w:val="28"/>
          <w:lang w:eastAsia="zh-CN"/>
        </w:rPr>
        <w:t>复习资料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一、单项选择题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1.A 2.A 3.B 4.D 5.C 6.A 7.B 8.B 9.A 10.D 11.A 12.D 13.A 14.B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15.D 16.C 17.A 18.C 19.D 20.C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二、多项选择题</w:t>
      </w:r>
      <w:bookmarkStart w:id="0" w:name="_GoBack"/>
      <w:bookmarkEnd w:id="0"/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1.ABCDE 2.ABCDE 3.AC 4.ABD 5.AD  6.AD 7.BDE 8.BCDE 9.BC 10.ACE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三、名词解释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已获利息倍数：是企业息税前利润与债务利息的比值，反映了企业获利能力对债务偿付的保证程度。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融资租赁：它是由出租人按照承租人的要求融资购入设备，并在规定的较长时间内提供给承租人使用的信用业务。承租人在租赁期内按规定向出租人支付租金，并取得所租资产的使用权。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>股利政策：是股份制企业就股利分配所采取的政策。广义的股利政策应包括：（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）选择股利的宣告日、股权登记日及发放日；（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）确定股利发放比例；（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）发放现金股利所需要的筹资方式。狭义的股利政策仅指股利发放比例的确定问题。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</w:rPr>
        <w:t>可分散风险：又叫非系统风险或公司特有风险。它是指发生于个别公司的特有事件造成的风险，这类事件是随机发生的，可以通过多元化投资来分散，即发生于一家公司的不利事件可以被其他公司的有利事件所抵消。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四、简答题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答：剩余股利政策是企业在有良好的投资机会时，根据目标资本结构测算出必须的权益资本与既有权益资本的差额，首先将税后利润满足权益资本需要，而后将剩余部分作为股利发放的政策。其基本步骤为：（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）设定目标资本结构；（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）确定目标资本结构下投资必需的股权资本，并确定与现有股权资本间的差额；（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）最大限度使用税后利润来满足新增投资对股权资本的需要；（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）最好将剩余的税后利润部分分发股利，以满足股东现时对股利的需要。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答：降低资本成本，既取决于企业自身筹资决策，也取决于市场环境，要降低资本成本，应从以下几个方面着手：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）合理安排筹资期限；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）合理利率预期；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）提高企业信誉，积极参与信用等级评估；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）积极利用负债经营；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）积极利用股票增值机制，降低股票筹资成本。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（以上各点要稍加展开。）</w:t>
      </w:r>
    </w:p>
    <w:p>
      <w:pPr>
        <w:rPr>
          <w:rFonts w:asci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6F17"/>
    <w:rsid w:val="07E71C74"/>
    <w:rsid w:val="0BD57161"/>
    <w:rsid w:val="133604EC"/>
    <w:rsid w:val="195B401D"/>
    <w:rsid w:val="3CCE3E1C"/>
    <w:rsid w:val="46F10DAB"/>
    <w:rsid w:val="4F795B35"/>
    <w:rsid w:val="51DA1312"/>
    <w:rsid w:val="67841B48"/>
    <w:rsid w:val="6B710D7B"/>
    <w:rsid w:val="6D9A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2019-11-25T08:09:00Z</dcterms:created>
  <dc:creator>Administrator</dc:creator>
  <cp:lastModifiedBy>Administrator</cp:lastModifiedBy>
  <dcterms:modified xsi:type="dcterms:W3CDTF">2019-11-26T09:53:01Z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