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财务管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理</w:t>
      </w:r>
      <w:r>
        <w:rPr>
          <w:rFonts w:hint="eastAsia" w:ascii="宋体" w:hAnsi="宋体"/>
          <w:b/>
          <w:sz w:val="28"/>
          <w:szCs w:val="28"/>
          <w:lang w:eastAsia="zh-CN"/>
        </w:rPr>
        <w:t>复习资料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一、单项选择题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1.A 2.A 3.B 4.D 5.C 6.A 7.B 8.B 9.A 10.D 11.A 12.D 13.A 14.B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15.D 16.C 17.A 18.C 19.D 20.C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二、多项选择题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1.ABCDE 2.ABCDE 3.AC 4.ABD 5.AD  6.AD 7.BDE 8.BCDE 9.BC 10.ACE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三、名词解释</w:t>
      </w: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已获利息倍数：是企业息税前利润与债务利息的比值，反映了企业获利能力对债务偿付的保证程度。</w:t>
      </w: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</w:rPr>
        <w:t>融资租赁：它是由出租人按照承租人的要求融资购入设备，并在规定的较长时间内提供给承租人使用的信用业务。承租人在租赁期内按规定向出租人支付租金，并取得所租资产的使用权。</w:t>
      </w: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hint="eastAsia" w:ascii="宋体" w:hAnsi="宋体"/>
          <w:sz w:val="24"/>
          <w:szCs w:val="24"/>
        </w:rPr>
        <w:t>股利政策：是股份制企业就股利分配所采取的政策。广义的股利政策应包括：（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）选择股利的宣告日、股权登记日及发放日；（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）确定股利发放比例；（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）发放现金股利所需要的筹资方式。狭义的股利政策仅指股利发放比例的确定问题。</w:t>
      </w: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hint="eastAsia" w:ascii="宋体" w:hAnsi="宋体"/>
          <w:sz w:val="24"/>
          <w:szCs w:val="24"/>
        </w:rPr>
        <w:t>可分散风险：又叫非系统风险或公司特有风险。它是指发生于个别公司的特有事件造成的风险，这类事件是随机发生的，可以通过多元化投资来分散，即发生于一家公司的不利事件可以被其他公司的有利事件所抵消。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四、简答题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答：剩余股利政策是企业在有良好的投资机会时，根据目标资本结构测算出必须的权益资本与既有权益资本的差额，首先将税后利润满足权益资本需要，而后将剩余部分作为股利发放的政策。其基本步骤为：（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）设定目标资本结构；（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）确定目标资本结构下投资必需的股权资本，并确定与现有股权资本间的差额；（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）最大限度使用税后利润来满足新增投资对股权资本的需要；（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）最好将剩余的税后利润部分分发股利，以满足股东现时对股利的需要。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</w:rPr>
        <w:t>答：降低资本成本，既取决于企业自身筹资决策，也取决于市场环境，要降低资本成本，应从以下几个方面着手：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）合理安排筹资期限；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）合理利率预期；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）提高企业信誉，积极参与信用等级评估；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）积极利用负债经营；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）积极利用股票增值机制，降低股票筹资成本。</w:t>
      </w: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（以上各点要稍加展开。）</w:t>
      </w:r>
    </w:p>
    <w:p>
      <w:pPr>
        <w:rPr>
          <w:rFonts w:asci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920"/>
    <w:rsid w:val="00032C40"/>
    <w:rsid w:val="001010BD"/>
    <w:rsid w:val="005752AE"/>
    <w:rsid w:val="006408BA"/>
    <w:rsid w:val="00641D26"/>
    <w:rsid w:val="006E6C62"/>
    <w:rsid w:val="00797D95"/>
    <w:rsid w:val="007B4B8B"/>
    <w:rsid w:val="007C0CE6"/>
    <w:rsid w:val="00873FCC"/>
    <w:rsid w:val="009B47CF"/>
    <w:rsid w:val="009D616B"/>
    <w:rsid w:val="00BC3920"/>
    <w:rsid w:val="00BF5934"/>
    <w:rsid w:val="00C06693"/>
    <w:rsid w:val="00CC130F"/>
    <w:rsid w:val="00D30FF4"/>
    <w:rsid w:val="00D449FD"/>
    <w:rsid w:val="00E93434"/>
    <w:rsid w:val="5943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3"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Balloon Text Char"/>
    <w:basedOn w:val="6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603</Words>
  <Characters>3440</Characters>
  <Lines>0</Lines>
  <Paragraphs>0</Paragraphs>
  <TotalTime>55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2015-01-07T05:50:00Z</dcterms:created>
  <dc:creator>admin</dc:creator>
  <cp:lastModifiedBy>Administrator</cp:lastModifiedBy>
  <dcterms:modified xsi:type="dcterms:W3CDTF">2019-11-28T01:37:39Z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